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Alterações realizadas </w:t>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Estudo de Viabilidade Técnica Econômica Jurídica e Ambiental:</w:t>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 planilha de preços médios, houve uma modificação de "levantamento topográfico planimétrico" para "levantamento topográfico planialtimétrico". </w:t>
      </w:r>
    </w:p>
    <w:p w:rsidR="00000000" w:rsidDel="00000000" w:rsidP="00000000" w:rsidRDefault="00000000" w:rsidRPr="00000000" w14:paraId="00000006">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levantamento planimétrico concentra-se apenas na medição das projeções horizontais que delimitam uma área, sendo apropriado para definir os limites de um terreno. Já o levantamento planialtimétrico é mais abrangente, pois além de medir as projeções horizontais, também registra as variações de altura do relevo, proporcionando um mapeamento mais completo e detalhado das características do terreno, solução, portanto, mais adequada às necessidades da Administração. </w:t>
      </w:r>
    </w:p>
    <w:p w:rsidR="00000000" w:rsidDel="00000000" w:rsidP="00000000" w:rsidRDefault="00000000" w:rsidRPr="00000000" w14:paraId="00000007">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Correção de erros materiais: Retificação de valores</w:t>
      </w:r>
    </w:p>
    <w:p w:rsidR="00000000" w:rsidDel="00000000" w:rsidP="00000000" w:rsidRDefault="00000000" w:rsidRPr="00000000" w14:paraId="00000009">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Alguns itens apresentaram preço médio incorreto, seja por (i) falha matemática, (ii) item que erroneamente estava com preço de outro (iii) arredondamentos da terceira casa decimal para baixo, fazendo com que determinados itens estivessem com preço médio um centavo menor.</w:t>
      </w:r>
    </w:p>
    <w:p w:rsidR="00000000" w:rsidDel="00000000" w:rsidP="00000000" w:rsidRDefault="00000000" w:rsidRPr="00000000" w14:paraId="0000000A">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Declaração de Disponibilidade Orçamentária</w:t>
      </w:r>
    </w:p>
    <w:p w:rsidR="00000000" w:rsidDel="00000000" w:rsidP="00000000" w:rsidRDefault="00000000" w:rsidRPr="00000000" w14:paraId="0000000C">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Atualização do valor de referência, após diligência de correção de documentação.</w:t>
      </w:r>
    </w:p>
    <w:p w:rsidR="00000000" w:rsidDel="00000000" w:rsidP="00000000" w:rsidRDefault="00000000" w:rsidRPr="00000000" w14:paraId="0000000E">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Termo de Referência</w:t>
      </w:r>
    </w:p>
    <w:p w:rsidR="00000000" w:rsidDel="00000000" w:rsidP="00000000" w:rsidRDefault="00000000" w:rsidRPr="00000000" w14:paraId="00000010">
      <w:pPr>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Correção de erros materiais: Itens erroneamente enumerados ou padronização de estilística.</w:t>
      </w:r>
    </w:p>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Alteração de n° de processo, de 01/2025 para 02/2025.</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Padronização dos termos do objeto, que embora apresentassem mesmo sentido, estavam redigidos de forma distinta no preâmbulo e no tópico 1, que trata do objeto.</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item “2” (Justificativa e Objetivo da Contratação), o termo “Estudo Técnico Preliminar” foi substituído por “Estudos de Viabilidade Técnica, Econômica e Ambiental (EVTEJA). Apesar de o EVTEJA se colocar como sinônimo de ETP, optou-se por fazer a alteração para evidenciar o fato de que o primeiro cumpre a função do segundo.</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item “4.1” fora retirado o termo “e com fornecimento de mão de obra em regime de dedicação exclusiva”, posto que, em nosso juízo, isso poderia significar antinomia com a possibilidade de realizar subcontratação. Haja vista que a Corte de Contas da União recomenda tal possibilidade nos casos em que a solução seja integrada e os itens sejam indivisíveis, procedeu-se com a exclusão de exigência de mão de obra com regime de dedicação exclusiva. Assim, a medida não restringe de forma excessiva a competitividade.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item 5.1.3 a duração de um ano, em desconformidade com o restante dos documentos, que preveem duração de cinco anos, foi alterada.</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item 5.3 o Decreto 4.922/2021 fora suprimido, haja vista não ser aplicável à jurisdição dos municípios consorciados.</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item 7.3 fora adicionado apenas para reforçar que, embora a vistoria para licitação e prova de conceito ocorram no CIMMVI, os serviços não serão prestados para o Consórcio.</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item 8.1.2 os termos “a execução dos serviços será iniciada a partir do envio da Ordem de Serviço,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pelo município contratante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foram adicionados para reforçar que o CIMMVI não será contratante dos serviços.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item 8.1.2.3 o termo “ateste”, adicionado, é sinônimo de aceite. Sua inclusão se justifica apenas para facilitar a compreensão das partes, caso um termo ou outro venha a ser preferido no cenário fático.</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Os itens 9.1.9, 9.1.10 e 9.1.11 foram incluídos para possibilitar à Administração maior gestão de informação da execução contratual.</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 9º, “a” do item 10.1, foram inseridos os termos “corretor de imóveis” na parte de pessoal técnico, na esteira das jurisprudências que reconheceram a competência de tais profissionais para elaborar laudos de avaliação de imóveis.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item 10.2.2 o nome “suporte técnico qualificado” foi substituído por “customização”, para evidenciar que o texto refere-se a este item em específico, evitando-se confusões entre os licitantes, embora os nomes sejam sinônimos.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item 11.2.1.1 foi informado que o fiscal </w:t>
      </w:r>
      <w:r w:rsidDel="00000000" w:rsidR="00000000" w:rsidRPr="00000000">
        <w:rPr>
          <w:rFonts w:ascii="Times New Roman" w:cs="Times New Roman" w:eastAsia="Times New Roman" w:hAnsi="Times New Roman"/>
          <w:sz w:val="24"/>
          <w:szCs w:val="24"/>
          <w:rtl w:val="0"/>
        </w:rPr>
        <w:t xml:space="preserve">será</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servidor do município contratante, para que se evite confusões no sentido de que o CIMMVI seria legítimo a fiscalizar o contrato, o que não se pode permitir, posto que ele é apenas o gerenciador da ata, mas não ente contratante.</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item 11.9.1 vem na esteira de demonstrar que não é de competência do contratado o ajuizamento de ações judiciais para regularizar os imóveis do município, e sim da procuradoria municipal.</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item 12.18, foi permitido que, mediante expressa autorização da Administração, possa ser feita a publicidade de dados obtidos em virtude da execução contratual, possibilitando a consecução de políticas públicas futuras, dado que essas informações são de relevância e interesse públicos.</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item 12.22.1 foi clarificado que os direitos intelectuais e autorais patrimoniais serão de propriedade da contratante, salvo disposição expressa, visto que, no processo, há disposições expressas de que o software, bem como suas posteriores modificações, manter-se-ão como propriedade da contratada.</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item 12.23 foi flexibilizada a necessidade de </w:t>
      </w:r>
      <w:r w:rsidDel="00000000" w:rsidR="00000000" w:rsidRPr="00000000">
        <w:rPr>
          <w:rFonts w:ascii="Times New Roman" w:cs="Times New Roman" w:eastAsia="Times New Roman" w:hAnsi="Times New Roman"/>
          <w:sz w:val="24"/>
          <w:szCs w:val="24"/>
          <w:rtl w:val="0"/>
        </w:rPr>
        <w:t xml:space="preserve">utilização de uniformes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bastando a identificação do colaborador, visto que a expressão anterior em nada impacta o bom desempenho das atividades pretendidas e pode ser traduzida como ingerência na gestão empresarial da contratada.</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Foi retirada a necessidade de apresentação mensal de empregados que optarem por não receber vale transporte, visto que tal disposição é descabida do objeto e desconexa com as finalidades do CIMMVI e dos municípios consorciados, algo que poderia ser interpretado como ingerência nos negócios da contrata e podendo acarretar em restrição de concorrência.</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item 12.26 foram retirados os termos “em agência situada na localidade ou região metropolitana que ocorre a prestação de serviços” visto que, considerando a existência de bancos digitais, torna-se desnecessária tal exigência.</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Foi retirada a previsão de impedimento de trabalhador prestar serviços em turno subsequente, visto que tal disposição não guarda ligação aparente com o objeto da licitação.</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Foi retirada, do item 12.33, a obrigação da contratada comprovar comunicação com a Receita Federal por meio de envio de comprovante e recebimento, em nome da vedação do formalismo excessivo.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Foi retirado, do item 15.7, a exigência de o contratado encaminhar mensalmente a documentação que comprove a manutenção da habilitação, visando não gerar obrigações desarrazoadas que poderiam, se inobservadas por descuido, gerar penalização para os licitantes. Todas as documentações podem facilmente ser obtidas mediante simples diligências na internet, tornando desnecessária a obrigação.</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Foi retirada a necessidade de apresentação de novas declarações toda vez que fossem admitidos novos empregados, bem como o prazo de análise de 30 dias por parte da Administração, pelas mesmas razões do comentário imediatamente anterior.</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Foi retirada a previsão de que a contratante deveria comunicar o fornecedor para regularizar seu registro, no prazo de cinco dias úteis ou apresente defesa. A manutenção da habilitação já é prevista como fato gerador de sanção, em outros instrumentos, e o prazo de cinco dias úteis mostra-se curto, o que poderia vir a cercear a defesa do contratado. Assim, a retirada do item pode ser feita sem prejuízo.</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EDITAL</w:t>
      </w:r>
    </w:p>
    <w:p w:rsidR="00000000" w:rsidDel="00000000" w:rsidP="00000000" w:rsidRDefault="00000000" w:rsidRPr="00000000" w14:paraId="00000043">
      <w:pPr>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4">
      <w:pPr>
        <w:jc w:val="both"/>
        <w:rPr>
          <w:rFonts w:ascii="Times New Roman" w:cs="Times New Roman" w:eastAsia="Times New Roman" w:hAnsi="Times New Roman"/>
          <w:b w:val="1"/>
          <w:color w:val="ff0000"/>
          <w:sz w:val="24"/>
          <w:szCs w:val="24"/>
          <w:u w:val="single"/>
        </w:rPr>
      </w:pPr>
      <w:r w:rsidDel="00000000" w:rsidR="00000000" w:rsidRPr="00000000">
        <w:rPr>
          <w:rFonts w:ascii="Times New Roman" w:cs="Times New Roman" w:eastAsia="Times New Roman" w:hAnsi="Times New Roman"/>
          <w:b w:val="1"/>
          <w:color w:val="ff0000"/>
          <w:sz w:val="24"/>
          <w:szCs w:val="24"/>
          <w:u w:val="single"/>
          <w:rtl w:val="0"/>
        </w:rPr>
        <w:t xml:space="preserve">Foram mantidas as datas originais, caso seja instaurado novo processo com as novas publicações, ou a reabertura do prazo, as datas devem ser alteradas.</w:t>
      </w:r>
    </w:p>
    <w:p w:rsidR="00000000" w:rsidDel="00000000" w:rsidP="00000000" w:rsidRDefault="00000000" w:rsidRPr="00000000" w14:paraId="00000045">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Correção de erros materiais: numeração errônea de itens.</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Endereço eletrônico foi alterado de gov.br para portal de compras públicas.</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Em 7.1, os termos “valor do preço anual” foram alterados para “valor do preço quinquenal”, para melhor facilitar a visualização do preço global do lote.</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Em 8.5, foram adicionados os termos “de modo a evidenciar conluio entre licitantes, tal como formação de cartel” visando evitar obscuridade da redação.</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 itens 11.5.2 “b” e “d”, foi dada a redação expressa da Lei 14.133/2021.</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item 11.5.3 “b” foi dada a redação “observado também o Art. 69da Lei de Licitações”, de modo a evidenciar a possibilidade existente para empresas constituídas a menos tempo.</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item c do item 11.5.3, “c” o valor de 5% foi alterado para 0,5% e 0,54%, em observância ao princípio da proporcionalidade, guardando relação com a memória de cálculo exposta na planilha de composição de custos.</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respeito do atestado de capacidade técnica de sistema de informação, onde se lia “ciclo de vida do imóvel público”, agora lê-se “ciclo de vida do imóvel”, de modo a não criar confusão estranheza entre licitantes e resultar em pedidos de esclarecimentos, pois o atestado de capacidade técnica não precisa ser emitido, apenas, por ente da Administração Pública, mas também por pessoas jurídicas de direito privado de um modo geral.</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exigências de atestado de capacidade técnica foram modificados para padronizar a redação constante no termo de referência.</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item 11.6.7.1 foi adicionado considerando a necessidade de emissão de documentos junto a órgãos competentes (a exemplo de habilitação de capacidade técnica junto ao conselho de engenharia), que podem atrasar e superar prazos inicialmente previstos. Assim, o item visa não penalizar o licitante de boa-fé que tenha sido prejudicado pelo comportamento de terceiros. Os subitens foram adicionados para privilegiar a isonomia a todos os demais.</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item 12.6, em nome do melhor interesse da Administração, permite-se que outros presentes, que detenham conhecimento especializado, possam realizar pronunciamentos acerca da realização da prova de conceito, ao pregoeiro, devendo, no entanto, constar tal informação em ata.</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item 15.2 foi reforçado que o lote é único, sendo os itens indivisíveis uns em relação aos outros.</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item 18.1.1, considerando que, pela natureza do objeto, o serviço deve ser realizado em localidades diversas, fora comunicado que o município informará os locais da prestação dos serviços.</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item 20.4 e seguintes foi acrescentado o termo “até”, possibilitando a dosimetria da sanção ao grau de gravidade. Trata-se de inserção relevante, considerando a grande monta do contrato.</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item 21.2, foi adicionado o teto máximo de ressarcimento, por contratação, autorizado pelo CIMMVI.</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Foi retirada a forma de resolução de conflitos que antes privilegiava o termo de referência face o edital.</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Foi adicionada a minuta de contrato como anexo.</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Foi adicionado modelo de proposta de preços, com quantitativo dos itens do lote, com validade de 90 dias corridos.</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B">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Ata de registro de preços</w:t>
      </w:r>
    </w:p>
    <w:p w:rsidR="00000000" w:rsidDel="00000000" w:rsidP="00000000" w:rsidRDefault="00000000" w:rsidRPr="00000000" w14:paraId="0000006C">
      <w:pPr>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Alteração do numero do processo de 001/2025 para 002/2025.</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Informação de publicação no portal de compras públicas.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Nomeação expressa dos 7 municípios aderentes ao IRP.</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item 5.2.4 foi informado o valor do teto de ressarcimento do PMI.</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Inclusão de item 7.1.1 que introduz a necessidade do CIMMVI demonstrar indícios de que os preços de mercado do lote como um todo estão superfaturados, caso queira renegociar os valores da ata, ficando encarregado o fornecedor de demonstrar em 10 dias úteis que os preços são condizentes (7.1.2)</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item 8.3 apenas foi inserido de modo expresso a possibilidade de remanejamento dos quantitativos para entes não participantes.</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Contrato</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08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Retificação de erros materiais, como numeração e formatação de documento.</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08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Foram adicionados os itens 2.2 e 2.3, informando que os serviços ocorrerão mediante ordens de serviço, que poderão indicar as localidades a serem ocorridas os serviços, sendo permitido que o contratado faça indicação do melhor plano de trabalho a ser adotado caso a caso.</w:t>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item 7.1 e no subitem 7.1.1 foi retirada a exigência de estar em dia com os documentos de habilitação para que ocorra pagamento, modificação feita na esteira da ampla e pacífica jurisprudência que reconhece como ilícita a não realização de pagamento por serviços efetivamente prestados.</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item 9.2.2 foi inserida a previsão de que a fiscalização ficará a cargo do contratante, sem ônus de que, eventualmente, o PTCI atue na figura de fiscal independente do contrato.</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 itens 10.2.1.1, 10.2.2, 10.2.3 os valores das multas foram padronizados em até 20%, para ficar em conformidade com o restante do documento. No subitem 10.2.4.1 foi prevista que a multa pecuniária não superior a grau 1 pudesse ser modificada por advertência a cada seis meses, ao contrário da redação anterior, que previa limite de 50 reais.</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item 10.2.5, o quantum da multa foi estabelecido como até 20%, possibilitando dosimetria.</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B">
      <w:pPr>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sz w:val="24"/>
          <w:szCs w:val="24"/>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b w:val="0"/>
        <w:color w:val="000000"/>
        <w:u w:val="none"/>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BR"/>
      </w:rPr>
    </w:rPrDefault>
    <w:pPrDefault>
      <w:pPr>
        <w:spacing w:after="160" w:line="25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Normal" w:default="1">
    <w:name w:val="Normal"/>
    <w:qFormat w:val="1"/>
  </w:style>
  <w:style w:type="paragraph" w:styleId="Ttulo1">
    <w:name w:val="heading 1"/>
    <w:basedOn w:val="Normal"/>
    <w:next w:val="Normal"/>
    <w:link w:val="Ttulo1Char"/>
    <w:uiPriority w:val="9"/>
    <w:qFormat w:val="1"/>
    <w:rsid w:val="005A1A01"/>
    <w:pPr>
      <w:keepNext w:val="1"/>
      <w:keepLines w:val="1"/>
      <w:spacing w:after="80" w:before="360"/>
      <w:outlineLvl w:val="0"/>
    </w:pPr>
    <w:rPr>
      <w:rFonts w:asciiTheme="majorHAnsi" w:cstheme="majorBidi" w:eastAsiaTheme="majorEastAsia" w:hAnsiTheme="majorHAnsi"/>
      <w:color w:val="2f5496" w:themeColor="accent1" w:themeShade="0000BF"/>
      <w:sz w:val="40"/>
      <w:szCs w:val="40"/>
    </w:rPr>
  </w:style>
  <w:style w:type="paragraph" w:styleId="Ttulo2">
    <w:name w:val="heading 2"/>
    <w:basedOn w:val="Normal"/>
    <w:next w:val="Normal"/>
    <w:link w:val="Ttulo2Char"/>
    <w:uiPriority w:val="9"/>
    <w:semiHidden w:val="1"/>
    <w:unhideWhenUsed w:val="1"/>
    <w:qFormat w:val="1"/>
    <w:rsid w:val="005A1A01"/>
    <w:pPr>
      <w:keepNext w:val="1"/>
      <w:keepLines w:val="1"/>
      <w:spacing w:after="80" w:before="160"/>
      <w:outlineLvl w:val="1"/>
    </w:pPr>
    <w:rPr>
      <w:rFonts w:asciiTheme="majorHAnsi" w:cstheme="majorBidi" w:eastAsiaTheme="majorEastAsia" w:hAnsiTheme="majorHAnsi"/>
      <w:color w:val="2f5496" w:themeColor="accent1" w:themeShade="0000BF"/>
      <w:sz w:val="32"/>
      <w:szCs w:val="32"/>
    </w:rPr>
  </w:style>
  <w:style w:type="paragraph" w:styleId="Ttulo3">
    <w:name w:val="heading 3"/>
    <w:basedOn w:val="Normal"/>
    <w:next w:val="Normal"/>
    <w:link w:val="Ttulo3Char"/>
    <w:uiPriority w:val="9"/>
    <w:semiHidden w:val="1"/>
    <w:unhideWhenUsed w:val="1"/>
    <w:qFormat w:val="1"/>
    <w:rsid w:val="005A1A01"/>
    <w:pPr>
      <w:keepNext w:val="1"/>
      <w:keepLines w:val="1"/>
      <w:spacing w:after="80" w:before="160"/>
      <w:outlineLvl w:val="2"/>
    </w:pPr>
    <w:rPr>
      <w:rFonts w:cstheme="majorBidi" w:eastAsiaTheme="majorEastAsia"/>
      <w:color w:val="2f5496" w:themeColor="accent1" w:themeShade="0000BF"/>
      <w:sz w:val="28"/>
      <w:szCs w:val="28"/>
    </w:rPr>
  </w:style>
  <w:style w:type="paragraph" w:styleId="Ttulo4">
    <w:name w:val="heading 4"/>
    <w:basedOn w:val="Normal"/>
    <w:next w:val="Normal"/>
    <w:link w:val="Ttulo4Char"/>
    <w:uiPriority w:val="9"/>
    <w:semiHidden w:val="1"/>
    <w:unhideWhenUsed w:val="1"/>
    <w:qFormat w:val="1"/>
    <w:rsid w:val="005A1A01"/>
    <w:pPr>
      <w:keepNext w:val="1"/>
      <w:keepLines w:val="1"/>
      <w:spacing w:after="40" w:before="80"/>
      <w:outlineLvl w:val="3"/>
    </w:pPr>
    <w:rPr>
      <w:rFonts w:cstheme="majorBidi" w:eastAsiaTheme="majorEastAsia"/>
      <w:i w:val="1"/>
      <w:iCs w:val="1"/>
      <w:color w:val="2f5496" w:themeColor="accent1" w:themeShade="0000BF"/>
    </w:rPr>
  </w:style>
  <w:style w:type="paragraph" w:styleId="Ttulo5">
    <w:name w:val="heading 5"/>
    <w:basedOn w:val="Normal"/>
    <w:next w:val="Normal"/>
    <w:link w:val="Ttulo5Char"/>
    <w:uiPriority w:val="9"/>
    <w:semiHidden w:val="1"/>
    <w:unhideWhenUsed w:val="1"/>
    <w:qFormat w:val="1"/>
    <w:rsid w:val="005A1A01"/>
    <w:pPr>
      <w:keepNext w:val="1"/>
      <w:keepLines w:val="1"/>
      <w:spacing w:after="40" w:before="80"/>
      <w:outlineLvl w:val="4"/>
    </w:pPr>
    <w:rPr>
      <w:rFonts w:cstheme="majorBidi" w:eastAsiaTheme="majorEastAsia"/>
      <w:color w:val="2f5496" w:themeColor="accent1" w:themeShade="0000BF"/>
    </w:rPr>
  </w:style>
  <w:style w:type="paragraph" w:styleId="Ttulo6">
    <w:name w:val="heading 6"/>
    <w:basedOn w:val="Normal"/>
    <w:next w:val="Normal"/>
    <w:link w:val="Ttulo6Char"/>
    <w:uiPriority w:val="9"/>
    <w:semiHidden w:val="1"/>
    <w:unhideWhenUsed w:val="1"/>
    <w:qFormat w:val="1"/>
    <w:rsid w:val="005A1A01"/>
    <w:pPr>
      <w:keepNext w:val="1"/>
      <w:keepLines w:val="1"/>
      <w:spacing w:after="0" w:before="40"/>
      <w:outlineLvl w:val="5"/>
    </w:pPr>
    <w:rPr>
      <w:rFonts w:cstheme="majorBidi" w:eastAsiaTheme="majorEastAsia"/>
      <w:i w:val="1"/>
      <w:iCs w:val="1"/>
      <w:color w:val="595959" w:themeColor="text1" w:themeTint="0000A6"/>
    </w:rPr>
  </w:style>
  <w:style w:type="paragraph" w:styleId="Ttulo7">
    <w:name w:val="heading 7"/>
    <w:basedOn w:val="Normal"/>
    <w:next w:val="Normal"/>
    <w:link w:val="Ttulo7Char"/>
    <w:uiPriority w:val="9"/>
    <w:semiHidden w:val="1"/>
    <w:unhideWhenUsed w:val="1"/>
    <w:qFormat w:val="1"/>
    <w:rsid w:val="005A1A01"/>
    <w:pPr>
      <w:keepNext w:val="1"/>
      <w:keepLines w:val="1"/>
      <w:spacing w:after="0" w:before="40"/>
      <w:outlineLvl w:val="6"/>
    </w:pPr>
    <w:rPr>
      <w:rFonts w:cstheme="majorBidi" w:eastAsiaTheme="majorEastAsia"/>
      <w:color w:val="595959" w:themeColor="text1" w:themeTint="0000A6"/>
    </w:rPr>
  </w:style>
  <w:style w:type="paragraph" w:styleId="Ttulo8">
    <w:name w:val="heading 8"/>
    <w:basedOn w:val="Normal"/>
    <w:next w:val="Normal"/>
    <w:link w:val="Ttulo8Char"/>
    <w:uiPriority w:val="9"/>
    <w:semiHidden w:val="1"/>
    <w:unhideWhenUsed w:val="1"/>
    <w:qFormat w:val="1"/>
    <w:rsid w:val="005A1A01"/>
    <w:pPr>
      <w:keepNext w:val="1"/>
      <w:keepLines w:val="1"/>
      <w:spacing w:after="0"/>
      <w:outlineLvl w:val="7"/>
    </w:pPr>
    <w:rPr>
      <w:rFonts w:cstheme="majorBidi" w:eastAsiaTheme="majorEastAsia"/>
      <w:i w:val="1"/>
      <w:iCs w:val="1"/>
      <w:color w:val="272727" w:themeColor="text1" w:themeTint="0000D8"/>
    </w:rPr>
  </w:style>
  <w:style w:type="paragraph" w:styleId="Ttulo9">
    <w:name w:val="heading 9"/>
    <w:basedOn w:val="Normal"/>
    <w:next w:val="Normal"/>
    <w:link w:val="Ttulo9Char"/>
    <w:uiPriority w:val="9"/>
    <w:semiHidden w:val="1"/>
    <w:unhideWhenUsed w:val="1"/>
    <w:qFormat w:val="1"/>
    <w:rsid w:val="005A1A01"/>
    <w:pPr>
      <w:keepNext w:val="1"/>
      <w:keepLines w:val="1"/>
      <w:spacing w:after="0"/>
      <w:outlineLvl w:val="8"/>
    </w:pPr>
    <w:rPr>
      <w:rFonts w:cstheme="majorBidi" w:eastAsiaTheme="majorEastAsia"/>
      <w:color w:val="272727" w:themeColor="text1" w:themeTint="0000D8"/>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character" w:styleId="Ttulo1Char" w:customStyle="1">
    <w:name w:val="Título 1 Char"/>
    <w:basedOn w:val="Fontepargpadro"/>
    <w:link w:val="Ttulo1"/>
    <w:uiPriority w:val="9"/>
    <w:rsid w:val="005A1A01"/>
    <w:rPr>
      <w:rFonts w:asciiTheme="majorHAnsi" w:cstheme="majorBidi" w:eastAsiaTheme="majorEastAsia" w:hAnsiTheme="majorHAnsi"/>
      <w:color w:val="2f5496" w:themeColor="accent1" w:themeShade="0000BF"/>
      <w:sz w:val="40"/>
      <w:szCs w:val="40"/>
    </w:rPr>
  </w:style>
  <w:style w:type="character" w:styleId="Ttulo2Char" w:customStyle="1">
    <w:name w:val="Título 2 Char"/>
    <w:basedOn w:val="Fontepargpadro"/>
    <w:link w:val="Ttulo2"/>
    <w:uiPriority w:val="9"/>
    <w:semiHidden w:val="1"/>
    <w:rsid w:val="005A1A01"/>
    <w:rPr>
      <w:rFonts w:asciiTheme="majorHAnsi" w:cstheme="majorBidi" w:eastAsiaTheme="majorEastAsia" w:hAnsiTheme="majorHAnsi"/>
      <w:color w:val="2f5496" w:themeColor="accent1" w:themeShade="0000BF"/>
      <w:sz w:val="32"/>
      <w:szCs w:val="32"/>
    </w:rPr>
  </w:style>
  <w:style w:type="character" w:styleId="Ttulo3Char" w:customStyle="1">
    <w:name w:val="Título 3 Char"/>
    <w:basedOn w:val="Fontepargpadro"/>
    <w:link w:val="Ttulo3"/>
    <w:uiPriority w:val="9"/>
    <w:semiHidden w:val="1"/>
    <w:rsid w:val="005A1A01"/>
    <w:rPr>
      <w:rFonts w:cstheme="majorBidi" w:eastAsiaTheme="majorEastAsia"/>
      <w:color w:val="2f5496" w:themeColor="accent1" w:themeShade="0000BF"/>
      <w:sz w:val="28"/>
      <w:szCs w:val="28"/>
    </w:rPr>
  </w:style>
  <w:style w:type="character" w:styleId="Ttulo4Char" w:customStyle="1">
    <w:name w:val="Título 4 Char"/>
    <w:basedOn w:val="Fontepargpadro"/>
    <w:link w:val="Ttulo4"/>
    <w:uiPriority w:val="9"/>
    <w:semiHidden w:val="1"/>
    <w:rsid w:val="005A1A01"/>
    <w:rPr>
      <w:rFonts w:cstheme="majorBidi" w:eastAsiaTheme="majorEastAsia"/>
      <w:i w:val="1"/>
      <w:iCs w:val="1"/>
      <w:color w:val="2f5496" w:themeColor="accent1" w:themeShade="0000BF"/>
    </w:rPr>
  </w:style>
  <w:style w:type="character" w:styleId="Ttulo5Char" w:customStyle="1">
    <w:name w:val="Título 5 Char"/>
    <w:basedOn w:val="Fontepargpadro"/>
    <w:link w:val="Ttulo5"/>
    <w:uiPriority w:val="9"/>
    <w:semiHidden w:val="1"/>
    <w:rsid w:val="005A1A01"/>
    <w:rPr>
      <w:rFonts w:cstheme="majorBidi" w:eastAsiaTheme="majorEastAsia"/>
      <w:color w:val="2f5496" w:themeColor="accent1" w:themeShade="0000BF"/>
    </w:rPr>
  </w:style>
  <w:style w:type="character" w:styleId="Ttulo6Char" w:customStyle="1">
    <w:name w:val="Título 6 Char"/>
    <w:basedOn w:val="Fontepargpadro"/>
    <w:link w:val="Ttulo6"/>
    <w:uiPriority w:val="9"/>
    <w:semiHidden w:val="1"/>
    <w:rsid w:val="005A1A01"/>
    <w:rPr>
      <w:rFonts w:cstheme="majorBidi" w:eastAsiaTheme="majorEastAsia"/>
      <w:i w:val="1"/>
      <w:iCs w:val="1"/>
      <w:color w:val="595959" w:themeColor="text1" w:themeTint="0000A6"/>
    </w:rPr>
  </w:style>
  <w:style w:type="character" w:styleId="Ttulo7Char" w:customStyle="1">
    <w:name w:val="Título 7 Char"/>
    <w:basedOn w:val="Fontepargpadro"/>
    <w:link w:val="Ttulo7"/>
    <w:uiPriority w:val="9"/>
    <w:semiHidden w:val="1"/>
    <w:rsid w:val="005A1A01"/>
    <w:rPr>
      <w:rFonts w:cstheme="majorBidi" w:eastAsiaTheme="majorEastAsia"/>
      <w:color w:val="595959" w:themeColor="text1" w:themeTint="0000A6"/>
    </w:rPr>
  </w:style>
  <w:style w:type="character" w:styleId="Ttulo8Char" w:customStyle="1">
    <w:name w:val="Título 8 Char"/>
    <w:basedOn w:val="Fontepargpadro"/>
    <w:link w:val="Ttulo8"/>
    <w:uiPriority w:val="9"/>
    <w:semiHidden w:val="1"/>
    <w:rsid w:val="005A1A01"/>
    <w:rPr>
      <w:rFonts w:cstheme="majorBidi" w:eastAsiaTheme="majorEastAsia"/>
      <w:i w:val="1"/>
      <w:iCs w:val="1"/>
      <w:color w:val="272727" w:themeColor="text1" w:themeTint="0000D8"/>
    </w:rPr>
  </w:style>
  <w:style w:type="character" w:styleId="Ttulo9Char" w:customStyle="1">
    <w:name w:val="Título 9 Char"/>
    <w:basedOn w:val="Fontepargpadro"/>
    <w:link w:val="Ttulo9"/>
    <w:uiPriority w:val="9"/>
    <w:semiHidden w:val="1"/>
    <w:rsid w:val="005A1A01"/>
    <w:rPr>
      <w:rFonts w:cstheme="majorBidi" w:eastAsiaTheme="majorEastAsia"/>
      <w:color w:val="272727" w:themeColor="text1" w:themeTint="0000D8"/>
    </w:rPr>
  </w:style>
  <w:style w:type="paragraph" w:styleId="Ttulo">
    <w:name w:val="Title"/>
    <w:basedOn w:val="Normal"/>
    <w:next w:val="Normal"/>
    <w:link w:val="TtuloChar"/>
    <w:uiPriority w:val="10"/>
    <w:qFormat w:val="1"/>
    <w:rsid w:val="005A1A01"/>
    <w:pPr>
      <w:spacing w:after="80" w:line="240" w:lineRule="auto"/>
      <w:contextualSpacing w:val="1"/>
    </w:pPr>
    <w:rPr>
      <w:rFonts w:asciiTheme="majorHAnsi" w:cstheme="majorBidi" w:eastAsiaTheme="majorEastAsia" w:hAnsiTheme="majorHAnsi"/>
      <w:spacing w:val="-10"/>
      <w:kern w:val="28"/>
      <w:sz w:val="56"/>
      <w:szCs w:val="56"/>
    </w:rPr>
  </w:style>
  <w:style w:type="character" w:styleId="TtuloChar" w:customStyle="1">
    <w:name w:val="Título Char"/>
    <w:basedOn w:val="Fontepargpadro"/>
    <w:link w:val="Ttulo"/>
    <w:uiPriority w:val="10"/>
    <w:rsid w:val="005A1A01"/>
    <w:rPr>
      <w:rFonts w:asciiTheme="majorHAnsi" w:cstheme="majorBidi" w:eastAsiaTheme="majorEastAsia" w:hAnsiTheme="majorHAnsi"/>
      <w:spacing w:val="-10"/>
      <w:kern w:val="28"/>
      <w:sz w:val="56"/>
      <w:szCs w:val="56"/>
    </w:rPr>
  </w:style>
  <w:style w:type="paragraph" w:styleId="Subttulo">
    <w:name w:val="Subtitle"/>
    <w:basedOn w:val="Normal"/>
    <w:next w:val="Normal"/>
    <w:link w:val="SubttuloChar"/>
    <w:uiPriority w:val="11"/>
    <w:qFormat w:val="1"/>
    <w:rsid w:val="005A1A01"/>
    <w:pPr>
      <w:numPr>
        <w:ilvl w:val="1"/>
      </w:numPr>
    </w:pPr>
    <w:rPr>
      <w:rFonts w:cstheme="majorBidi" w:eastAsiaTheme="majorEastAsia"/>
      <w:color w:val="595959" w:themeColor="text1" w:themeTint="0000A6"/>
      <w:spacing w:val="15"/>
      <w:sz w:val="28"/>
      <w:szCs w:val="28"/>
    </w:rPr>
  </w:style>
  <w:style w:type="character" w:styleId="SubttuloChar" w:customStyle="1">
    <w:name w:val="Subtítulo Char"/>
    <w:basedOn w:val="Fontepargpadro"/>
    <w:link w:val="Subttulo"/>
    <w:uiPriority w:val="11"/>
    <w:rsid w:val="005A1A01"/>
    <w:rPr>
      <w:rFonts w:cstheme="majorBidi" w:eastAsiaTheme="majorEastAsia"/>
      <w:color w:val="595959" w:themeColor="text1" w:themeTint="0000A6"/>
      <w:spacing w:val="15"/>
      <w:sz w:val="28"/>
      <w:szCs w:val="28"/>
    </w:rPr>
  </w:style>
  <w:style w:type="paragraph" w:styleId="Citao">
    <w:name w:val="Quote"/>
    <w:basedOn w:val="Normal"/>
    <w:next w:val="Normal"/>
    <w:link w:val="CitaoChar"/>
    <w:uiPriority w:val="29"/>
    <w:qFormat w:val="1"/>
    <w:rsid w:val="005A1A01"/>
    <w:pPr>
      <w:spacing w:before="160"/>
      <w:jc w:val="center"/>
    </w:pPr>
    <w:rPr>
      <w:i w:val="1"/>
      <w:iCs w:val="1"/>
      <w:color w:val="404040" w:themeColor="text1" w:themeTint="0000BF"/>
    </w:rPr>
  </w:style>
  <w:style w:type="character" w:styleId="CitaoChar" w:customStyle="1">
    <w:name w:val="Citação Char"/>
    <w:basedOn w:val="Fontepargpadro"/>
    <w:link w:val="Citao"/>
    <w:uiPriority w:val="29"/>
    <w:rsid w:val="005A1A01"/>
    <w:rPr>
      <w:i w:val="1"/>
      <w:iCs w:val="1"/>
      <w:color w:val="404040" w:themeColor="text1" w:themeTint="0000BF"/>
    </w:rPr>
  </w:style>
  <w:style w:type="paragraph" w:styleId="PargrafodaLista">
    <w:name w:val="List Paragraph"/>
    <w:basedOn w:val="Normal"/>
    <w:uiPriority w:val="34"/>
    <w:qFormat w:val="1"/>
    <w:rsid w:val="005A1A01"/>
    <w:pPr>
      <w:ind w:left="720"/>
      <w:contextualSpacing w:val="1"/>
    </w:pPr>
  </w:style>
  <w:style w:type="character" w:styleId="nfaseIntensa">
    <w:name w:val="Intense Emphasis"/>
    <w:basedOn w:val="Fontepargpadro"/>
    <w:uiPriority w:val="21"/>
    <w:qFormat w:val="1"/>
    <w:rsid w:val="005A1A01"/>
    <w:rPr>
      <w:i w:val="1"/>
      <w:iCs w:val="1"/>
      <w:color w:val="2f5496" w:themeColor="accent1" w:themeShade="0000BF"/>
    </w:rPr>
  </w:style>
  <w:style w:type="paragraph" w:styleId="CitaoIntensa">
    <w:name w:val="Intense Quote"/>
    <w:basedOn w:val="Normal"/>
    <w:next w:val="Normal"/>
    <w:link w:val="CitaoIntensaChar"/>
    <w:uiPriority w:val="30"/>
    <w:qFormat w:val="1"/>
    <w:rsid w:val="005A1A01"/>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CitaoIntensaChar" w:customStyle="1">
    <w:name w:val="Citação Intensa Char"/>
    <w:basedOn w:val="Fontepargpadro"/>
    <w:link w:val="CitaoIntensa"/>
    <w:uiPriority w:val="30"/>
    <w:rsid w:val="005A1A01"/>
    <w:rPr>
      <w:i w:val="1"/>
      <w:iCs w:val="1"/>
      <w:color w:val="2f5496" w:themeColor="accent1" w:themeShade="0000BF"/>
    </w:rPr>
  </w:style>
  <w:style w:type="character" w:styleId="RefernciaIntensa">
    <w:name w:val="Intense Reference"/>
    <w:basedOn w:val="Fontepargpadro"/>
    <w:uiPriority w:val="32"/>
    <w:qFormat w:val="1"/>
    <w:rsid w:val="005A1A01"/>
    <w:rPr>
      <w:b w:val="1"/>
      <w:bCs w:val="1"/>
      <w:smallCaps w:val="1"/>
      <w:color w:val="2f5496" w:themeColor="accent1" w:themeShade="0000BF"/>
      <w:spacing w:val="5"/>
    </w:rPr>
  </w:style>
  <w:style w:type="paragraph" w:styleId="NormalWeb">
    <w:name w:val="Normal (Web)"/>
    <w:basedOn w:val="Normal"/>
    <w:uiPriority w:val="99"/>
    <w:semiHidden w:val="1"/>
    <w:unhideWhenUsed w:val="1"/>
    <w:rsid w:val="005A1A01"/>
    <w:rPr>
      <w:rFonts w:ascii="Times New Roman" w:cs="Times New Roman" w:hAnsi="Times New Roman"/>
      <w:sz w:val="24"/>
      <w:szCs w:val="24"/>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ykipuxznSokOnAGSK51uhGTS/w==">CgMxLjA4AHIhMTNwWktPZFd6RmlwemhlNUxpUm1TanJvQ2t0VC1FRXhy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2025-04-25T15:43:00Z</dcterms:created>
  <dc:creator>IPGC Bh</dc:creator>
</cp:coreProperties>
</file>